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DFC" w:rsidRDefault="008B1DFC" w:rsidP="00B74F8F">
      <w:pPr>
        <w:spacing w:after="200" w:line="276" w:lineRule="auto"/>
        <w:contextualSpacing/>
        <w:rPr>
          <w:rFonts w:asciiTheme="minorHAnsi" w:eastAsiaTheme="minorHAnsi" w:hAnsiTheme="minorHAnsi" w:cstheme="minorBidi"/>
          <w:spacing w:val="0"/>
          <w:sz w:val="24"/>
          <w:szCs w:val="24"/>
        </w:rPr>
      </w:pPr>
    </w:p>
    <w:p w:rsidR="00571B56" w:rsidRPr="00571B56" w:rsidRDefault="00571B56" w:rsidP="00571B56">
      <w:pPr>
        <w:jc w:val="center"/>
        <w:rPr>
          <w:rFonts w:cs="Arial"/>
          <w:b/>
          <w:sz w:val="22"/>
          <w:szCs w:val="22"/>
          <w:lang w:val="es-419"/>
        </w:rPr>
      </w:pPr>
      <w:r w:rsidRPr="00571B56">
        <w:rPr>
          <w:rFonts w:cs="Arial"/>
          <w:b/>
          <w:sz w:val="22"/>
          <w:szCs w:val="22"/>
          <w:lang w:val="es-419"/>
        </w:rPr>
        <w:t>Preguntas Frecuentes Acerca de la Destrucción de Parásitos</w:t>
      </w:r>
    </w:p>
    <w:p w:rsidR="00571B56" w:rsidRPr="00571B56" w:rsidRDefault="00571B56" w:rsidP="00571B56">
      <w:pPr>
        <w:rPr>
          <w:rFonts w:cs="Arial"/>
          <w:b/>
          <w:sz w:val="22"/>
          <w:szCs w:val="22"/>
          <w:lang w:val="es-419"/>
        </w:rPr>
      </w:pPr>
    </w:p>
    <w:p w:rsidR="00571B56" w:rsidRPr="00571B56" w:rsidRDefault="00571B56" w:rsidP="00571B56">
      <w:pPr>
        <w:rPr>
          <w:rFonts w:cs="Arial"/>
          <w:b/>
          <w:sz w:val="22"/>
          <w:szCs w:val="22"/>
          <w:lang w:val="es-419"/>
        </w:rPr>
      </w:pPr>
      <w:r w:rsidRPr="00571B56">
        <w:rPr>
          <w:rFonts w:cs="Arial"/>
          <w:b/>
          <w:sz w:val="22"/>
          <w:szCs w:val="22"/>
          <w:lang w:val="es-419"/>
        </w:rPr>
        <w:t>¿Por qué es necesaria la destrucción de parásitos?</w:t>
      </w:r>
    </w:p>
    <w:p w:rsidR="00571B56" w:rsidRPr="00571B56" w:rsidRDefault="00571B56" w:rsidP="00571B56">
      <w:pPr>
        <w:rPr>
          <w:rFonts w:cs="Arial"/>
          <w:sz w:val="22"/>
          <w:szCs w:val="22"/>
          <w:lang w:val="es-419"/>
        </w:rPr>
      </w:pPr>
    </w:p>
    <w:p w:rsidR="00571B56" w:rsidRPr="00571B56" w:rsidRDefault="00571B56" w:rsidP="00571B56">
      <w:pPr>
        <w:rPr>
          <w:rFonts w:cs="Arial"/>
          <w:sz w:val="22"/>
          <w:szCs w:val="22"/>
          <w:lang w:val="es-419"/>
        </w:rPr>
      </w:pPr>
      <w:r w:rsidRPr="00571B56">
        <w:rPr>
          <w:rFonts w:cs="Arial"/>
          <w:sz w:val="22"/>
          <w:szCs w:val="22"/>
          <w:lang w:val="es-419"/>
        </w:rPr>
        <w:t>Todos los organismos vivos; incluyendo los peces, tienen parásitos. Los parásitos son un acontecimiento natural, no un tipo de contaminación. Son tan comunes en peces e insectos como en frutas y vegetales. Los parásitos son eliminados durante el proceso de cocción, por lo que no presentan una preocupación cuando los pescados son cocinados completamente.</w:t>
      </w:r>
    </w:p>
    <w:p w:rsidR="00571B56" w:rsidRPr="00571B56" w:rsidRDefault="00571B56" w:rsidP="00571B56">
      <w:pPr>
        <w:rPr>
          <w:rFonts w:cs="Arial"/>
          <w:sz w:val="22"/>
          <w:szCs w:val="22"/>
          <w:lang w:val="es-419"/>
        </w:rPr>
      </w:pPr>
      <w:r w:rsidRPr="00571B56">
        <w:rPr>
          <w:rFonts w:cs="Arial"/>
          <w:sz w:val="22"/>
          <w:szCs w:val="22"/>
          <w:lang w:val="es-419"/>
        </w:rPr>
        <w:t>Los parásitos sí son una preocupación cuando los consumidores comen pescado crudo, poco cocido o ligeramente preservado, como el sashimi, sushi o ceviche. El congelarlos de acuerdo con la Sección 050.260(A) de las Regulaciones de La Junta Distrital que Regula los Establecimientos Alimentarios en el Condado de Washoe, mata cualquier parásito que pueda estar presente.</w:t>
      </w:r>
    </w:p>
    <w:p w:rsidR="00571B56" w:rsidRPr="00571B56" w:rsidRDefault="00571B56" w:rsidP="00571B56">
      <w:pPr>
        <w:rPr>
          <w:rFonts w:cs="Arial"/>
          <w:b/>
          <w:sz w:val="22"/>
          <w:szCs w:val="22"/>
          <w:lang w:val="es-419"/>
        </w:rPr>
      </w:pPr>
    </w:p>
    <w:p w:rsidR="00571B56" w:rsidRPr="00571B56" w:rsidRDefault="00571B56" w:rsidP="00571B56">
      <w:pPr>
        <w:rPr>
          <w:rFonts w:cs="Arial"/>
          <w:b/>
          <w:sz w:val="22"/>
          <w:szCs w:val="22"/>
          <w:lang w:val="es-419"/>
        </w:rPr>
      </w:pPr>
      <w:r w:rsidRPr="00571B56">
        <w:rPr>
          <w:rFonts w:cs="Arial"/>
          <w:b/>
          <w:sz w:val="22"/>
          <w:szCs w:val="22"/>
          <w:lang w:val="es-419"/>
        </w:rPr>
        <w:t>¿Para que pescados crudos y poco cocinados aplica la destrucción de parásitos?</w:t>
      </w:r>
    </w:p>
    <w:p w:rsidR="00571B56" w:rsidRPr="00571B56" w:rsidRDefault="00571B56" w:rsidP="00571B56">
      <w:pPr>
        <w:rPr>
          <w:rFonts w:cs="Arial"/>
          <w:sz w:val="22"/>
          <w:szCs w:val="22"/>
          <w:lang w:val="es-419"/>
        </w:rPr>
      </w:pPr>
    </w:p>
    <w:p w:rsidR="00571B56" w:rsidRPr="00571B56" w:rsidRDefault="00571B56" w:rsidP="00571B56">
      <w:pPr>
        <w:rPr>
          <w:rFonts w:cs="Arial"/>
          <w:sz w:val="22"/>
          <w:szCs w:val="22"/>
          <w:lang w:val="es-419"/>
        </w:rPr>
      </w:pPr>
      <w:r w:rsidRPr="00571B56">
        <w:rPr>
          <w:rFonts w:cs="Arial"/>
          <w:sz w:val="22"/>
          <w:szCs w:val="22"/>
          <w:lang w:val="es-419"/>
        </w:rPr>
        <w:t>La destrucción de parásitos aplica para todos los pescados crudos y poco cocidos, excepto aquellos enlistados en la Sección 050.261 (B) (ver abajo). Las regulaciones definen a los pescados como,</w:t>
      </w:r>
    </w:p>
    <w:p w:rsidR="00571B56" w:rsidRPr="00571B56" w:rsidRDefault="00571B56" w:rsidP="00571B56">
      <w:pPr>
        <w:rPr>
          <w:rFonts w:cs="Arial"/>
          <w:sz w:val="22"/>
          <w:szCs w:val="22"/>
          <w:lang w:val="es-419"/>
        </w:rPr>
      </w:pPr>
    </w:p>
    <w:p w:rsidR="00571B56" w:rsidRPr="00571B56" w:rsidRDefault="00571B56" w:rsidP="00571B56">
      <w:pPr>
        <w:rPr>
          <w:rFonts w:cs="Arial"/>
          <w:b/>
          <w:sz w:val="22"/>
          <w:szCs w:val="22"/>
          <w:lang w:val="es-419"/>
        </w:rPr>
      </w:pPr>
      <w:r w:rsidRPr="00571B56">
        <w:rPr>
          <w:rFonts w:cs="Arial"/>
          <w:sz w:val="22"/>
          <w:szCs w:val="22"/>
          <w:lang w:val="es-419"/>
        </w:rPr>
        <w:tab/>
      </w:r>
      <w:r w:rsidRPr="00571B56">
        <w:rPr>
          <w:rFonts w:cs="Arial"/>
          <w:b/>
          <w:sz w:val="22"/>
          <w:szCs w:val="22"/>
          <w:lang w:val="es-419"/>
        </w:rPr>
        <w:t xml:space="preserve">Definición de “Pescado” </w:t>
      </w:r>
    </w:p>
    <w:p w:rsidR="00571B56" w:rsidRPr="00571B56" w:rsidRDefault="00571B56" w:rsidP="00571B56">
      <w:pPr>
        <w:pStyle w:val="ListParagraph"/>
        <w:spacing w:after="160" w:line="259" w:lineRule="auto"/>
        <w:rPr>
          <w:rFonts w:ascii="Arial" w:hAnsi="Arial" w:cs="Arial"/>
          <w:lang w:val="es-419"/>
        </w:rPr>
      </w:pPr>
    </w:p>
    <w:p w:rsidR="00571B56" w:rsidRPr="00571B56" w:rsidRDefault="00571B56" w:rsidP="00571B56">
      <w:pPr>
        <w:pStyle w:val="ListParagraph"/>
        <w:numPr>
          <w:ilvl w:val="0"/>
          <w:numId w:val="6"/>
        </w:numPr>
        <w:spacing w:after="160" w:line="259" w:lineRule="auto"/>
        <w:rPr>
          <w:rFonts w:ascii="Arial" w:hAnsi="Arial" w:cs="Arial"/>
          <w:lang w:val="es-419"/>
        </w:rPr>
      </w:pPr>
      <w:r w:rsidRPr="00571B56">
        <w:rPr>
          <w:rFonts w:ascii="Arial" w:hAnsi="Arial" w:cs="Arial"/>
          <w:lang w:val="es-419"/>
        </w:rPr>
        <w:t>“Pescado” significa cualquier pez de aleta de agua dulce o salada, crustáceos y otras formas de vida acuática (incluyendo cocodrilos, ranas, tortugas de mar, medusas, pepino de mar, y erizo de mar, y las huevas de dichos animales) contrario a los pájaros o mamíferos, y todos los moluscos, si la vida de dicho animal es para consumo humano.</w:t>
      </w:r>
    </w:p>
    <w:p w:rsidR="00571B56" w:rsidRPr="00571B56" w:rsidRDefault="00571B56" w:rsidP="00571B56">
      <w:pPr>
        <w:pStyle w:val="ListParagraph"/>
        <w:rPr>
          <w:rFonts w:ascii="Arial" w:hAnsi="Arial" w:cs="Arial"/>
          <w:lang w:val="es-419"/>
        </w:rPr>
      </w:pPr>
    </w:p>
    <w:p w:rsidR="00571B56" w:rsidRPr="00571B56" w:rsidRDefault="00571B56" w:rsidP="00571B56">
      <w:pPr>
        <w:pStyle w:val="ListParagraph"/>
        <w:numPr>
          <w:ilvl w:val="0"/>
          <w:numId w:val="6"/>
        </w:numPr>
        <w:spacing w:after="160" w:line="259" w:lineRule="auto"/>
        <w:rPr>
          <w:rFonts w:ascii="Arial" w:hAnsi="Arial" w:cs="Arial"/>
          <w:lang w:val="es-419"/>
        </w:rPr>
      </w:pPr>
      <w:r w:rsidRPr="00571B56">
        <w:rPr>
          <w:rFonts w:ascii="Arial" w:hAnsi="Arial" w:cs="Arial"/>
          <w:lang w:val="es-419"/>
        </w:rPr>
        <w:t>La palabra “pescado” incluye todos los productos de consumo humano derivados completamente o en parte del animal marino, incluyendo pescados que han sido procesados de cualquier manera.</w:t>
      </w:r>
    </w:p>
    <w:p w:rsidR="00571B56" w:rsidRPr="00571B56" w:rsidRDefault="00571B56" w:rsidP="00571B56">
      <w:pPr>
        <w:rPr>
          <w:rFonts w:cs="Arial"/>
          <w:sz w:val="22"/>
          <w:szCs w:val="22"/>
          <w:lang w:val="es-419"/>
        </w:rPr>
      </w:pPr>
      <w:r w:rsidRPr="00571B56">
        <w:rPr>
          <w:rFonts w:cs="Arial"/>
          <w:sz w:val="22"/>
          <w:szCs w:val="22"/>
          <w:lang w:val="es-419"/>
        </w:rPr>
        <w:t>Los pescados que no requieren destrucción de parásitos, de acuerdo con la Sección 050.260 (B) incluyen:</w:t>
      </w:r>
    </w:p>
    <w:p w:rsidR="00571B56" w:rsidRPr="00571B56" w:rsidRDefault="00571B56" w:rsidP="00571B56">
      <w:pPr>
        <w:rPr>
          <w:rFonts w:cs="Arial"/>
          <w:sz w:val="22"/>
          <w:szCs w:val="22"/>
          <w:lang w:val="es-419"/>
        </w:rPr>
      </w:pPr>
    </w:p>
    <w:p w:rsidR="00571B56" w:rsidRPr="00571B56" w:rsidRDefault="00571B56" w:rsidP="00571B56">
      <w:pPr>
        <w:pStyle w:val="ListParagraph"/>
        <w:numPr>
          <w:ilvl w:val="0"/>
          <w:numId w:val="7"/>
        </w:numPr>
        <w:spacing w:after="160" w:line="259" w:lineRule="auto"/>
        <w:rPr>
          <w:rFonts w:ascii="Arial" w:hAnsi="Arial" w:cs="Arial"/>
          <w:lang w:val="es-419"/>
        </w:rPr>
      </w:pPr>
      <w:r w:rsidRPr="00571B56">
        <w:rPr>
          <w:rFonts w:ascii="Arial" w:hAnsi="Arial" w:cs="Arial"/>
          <w:lang w:val="es-419"/>
        </w:rPr>
        <w:t>Moluscos, mariscos;</w:t>
      </w:r>
    </w:p>
    <w:p w:rsidR="00571B56" w:rsidRPr="00571B56" w:rsidRDefault="00571B56" w:rsidP="00571B56">
      <w:pPr>
        <w:pStyle w:val="ListParagraph"/>
        <w:rPr>
          <w:rFonts w:ascii="Arial" w:hAnsi="Arial" w:cs="Arial"/>
          <w:lang w:val="es-419"/>
        </w:rPr>
      </w:pPr>
    </w:p>
    <w:p w:rsidR="00571B56" w:rsidRPr="00571B56" w:rsidRDefault="00571B56" w:rsidP="00571B56">
      <w:pPr>
        <w:pStyle w:val="ListParagraph"/>
        <w:numPr>
          <w:ilvl w:val="0"/>
          <w:numId w:val="7"/>
        </w:numPr>
        <w:spacing w:after="160" w:line="259" w:lineRule="auto"/>
        <w:rPr>
          <w:rFonts w:ascii="Arial" w:hAnsi="Arial" w:cs="Arial"/>
          <w:lang w:val="es-419"/>
        </w:rPr>
      </w:pPr>
      <w:r w:rsidRPr="00571B56">
        <w:rPr>
          <w:rFonts w:ascii="Arial" w:hAnsi="Arial" w:cs="Arial"/>
          <w:lang w:val="es-419"/>
        </w:rPr>
        <w:t xml:space="preserve">Atún de las especies </w:t>
      </w:r>
      <w:r w:rsidRPr="00571B56">
        <w:rPr>
          <w:rFonts w:ascii="Arial" w:hAnsi="Arial" w:cs="Arial"/>
          <w:i/>
          <w:lang w:val="es-419"/>
        </w:rPr>
        <w:t xml:space="preserve">Thunnus alalunga, Thunnus albacares </w:t>
      </w:r>
      <w:r w:rsidRPr="00571B56">
        <w:rPr>
          <w:rFonts w:ascii="Arial" w:hAnsi="Arial" w:cs="Arial"/>
          <w:lang w:val="es-419"/>
        </w:rPr>
        <w:t xml:space="preserve">(atún de aleta amarilla), </w:t>
      </w:r>
      <w:r w:rsidRPr="00571B56">
        <w:rPr>
          <w:rFonts w:ascii="Arial" w:hAnsi="Arial" w:cs="Arial"/>
          <w:i/>
          <w:lang w:val="es-419"/>
        </w:rPr>
        <w:t>Thunnus atlanticus, Thunnus maccoyii</w:t>
      </w:r>
      <w:r w:rsidRPr="00571B56">
        <w:rPr>
          <w:rFonts w:ascii="Arial" w:hAnsi="Arial" w:cs="Arial"/>
          <w:lang w:val="es-419"/>
        </w:rPr>
        <w:t xml:space="preserve"> (atún de aleta azul, del Sur)</w:t>
      </w:r>
      <w:r w:rsidRPr="00571B56">
        <w:rPr>
          <w:rFonts w:ascii="Arial" w:hAnsi="Arial" w:cs="Arial"/>
          <w:i/>
          <w:lang w:val="es-419"/>
        </w:rPr>
        <w:t xml:space="preserve">, Thunnus obesus </w:t>
      </w:r>
      <w:r w:rsidRPr="00571B56">
        <w:rPr>
          <w:rFonts w:ascii="Arial" w:hAnsi="Arial" w:cs="Arial"/>
          <w:lang w:val="es-419"/>
        </w:rPr>
        <w:t xml:space="preserve">(atún de ojo grande), o </w:t>
      </w:r>
      <w:r w:rsidRPr="00571B56">
        <w:rPr>
          <w:rFonts w:ascii="Arial" w:hAnsi="Arial" w:cs="Arial"/>
          <w:i/>
          <w:lang w:val="es-419"/>
        </w:rPr>
        <w:t xml:space="preserve">Thunnus thynnus </w:t>
      </w:r>
      <w:r w:rsidRPr="00571B56">
        <w:rPr>
          <w:rFonts w:ascii="Arial" w:hAnsi="Arial" w:cs="Arial"/>
          <w:lang w:val="es-419"/>
        </w:rPr>
        <w:t>(atún de aleta azul, del Norte); o</w:t>
      </w:r>
    </w:p>
    <w:p w:rsidR="00571B56" w:rsidRPr="00571B56" w:rsidRDefault="00571B56" w:rsidP="00571B56">
      <w:pPr>
        <w:pStyle w:val="ListParagraph"/>
        <w:rPr>
          <w:rFonts w:ascii="Arial" w:hAnsi="Arial" w:cs="Arial"/>
          <w:lang w:val="es-419"/>
        </w:rPr>
      </w:pPr>
    </w:p>
    <w:p w:rsidR="00571B56" w:rsidRPr="00571B56" w:rsidRDefault="00571B56" w:rsidP="00571B56">
      <w:pPr>
        <w:pStyle w:val="ListParagraph"/>
        <w:numPr>
          <w:ilvl w:val="0"/>
          <w:numId w:val="7"/>
        </w:numPr>
        <w:spacing w:after="160" w:line="259" w:lineRule="auto"/>
        <w:rPr>
          <w:rFonts w:ascii="Arial" w:hAnsi="Arial" w:cs="Arial"/>
          <w:lang w:val="es-419"/>
        </w:rPr>
      </w:pPr>
      <w:r w:rsidRPr="00571B56">
        <w:rPr>
          <w:rFonts w:ascii="Arial" w:hAnsi="Arial" w:cs="Arial"/>
          <w:lang w:val="es-419"/>
        </w:rPr>
        <w:t>Pescados criados por acuicultura, como el salmón, que:</w:t>
      </w:r>
    </w:p>
    <w:p w:rsidR="00571B56" w:rsidRPr="00571B56" w:rsidRDefault="00571B56" w:rsidP="00571B56">
      <w:pPr>
        <w:pStyle w:val="ListParagraph"/>
        <w:rPr>
          <w:rFonts w:ascii="Arial" w:hAnsi="Arial" w:cs="Arial"/>
          <w:lang w:val="es-419"/>
        </w:rPr>
      </w:pPr>
    </w:p>
    <w:p w:rsidR="00571B56" w:rsidRPr="00571B56" w:rsidRDefault="00571B56" w:rsidP="00571B56">
      <w:pPr>
        <w:pStyle w:val="ListParagraph"/>
        <w:numPr>
          <w:ilvl w:val="0"/>
          <w:numId w:val="8"/>
        </w:numPr>
        <w:spacing w:after="160" w:line="259" w:lineRule="auto"/>
        <w:rPr>
          <w:rFonts w:ascii="Arial" w:hAnsi="Arial" w:cs="Arial"/>
          <w:lang w:val="es-419"/>
        </w:rPr>
      </w:pPr>
      <w:r w:rsidRPr="00571B56">
        <w:rPr>
          <w:rFonts w:ascii="Arial" w:hAnsi="Arial" w:cs="Arial"/>
          <w:lang w:val="es-419"/>
        </w:rPr>
        <w:t>Si se crían en aguas abiertas, son criados en corrales de red, o</w:t>
      </w:r>
    </w:p>
    <w:p w:rsidR="00571B56" w:rsidRPr="00571B56" w:rsidRDefault="00571B56" w:rsidP="00571B56">
      <w:pPr>
        <w:pStyle w:val="ListParagraph"/>
        <w:ind w:left="1440"/>
        <w:rPr>
          <w:rFonts w:ascii="Arial" w:hAnsi="Arial" w:cs="Arial"/>
          <w:lang w:val="es-419"/>
        </w:rPr>
      </w:pPr>
    </w:p>
    <w:p w:rsidR="00571B56" w:rsidRPr="00571B56" w:rsidRDefault="00571B56" w:rsidP="00571B56">
      <w:pPr>
        <w:pStyle w:val="ListParagraph"/>
        <w:numPr>
          <w:ilvl w:val="0"/>
          <w:numId w:val="8"/>
        </w:numPr>
        <w:spacing w:after="160" w:line="259" w:lineRule="auto"/>
        <w:rPr>
          <w:rFonts w:ascii="Arial" w:hAnsi="Arial" w:cs="Arial"/>
          <w:lang w:val="es-419"/>
        </w:rPr>
      </w:pPr>
      <w:r w:rsidRPr="00571B56">
        <w:rPr>
          <w:rFonts w:ascii="Arial" w:hAnsi="Arial" w:cs="Arial"/>
          <w:lang w:val="es-419"/>
        </w:rPr>
        <w:t>Que son criados en operaciones terrestres como estanques o tanques, y</w:t>
      </w:r>
    </w:p>
    <w:p w:rsidR="00571B56" w:rsidRPr="00571B56" w:rsidRDefault="00571B56" w:rsidP="00571B56">
      <w:pPr>
        <w:pStyle w:val="ListParagraph"/>
        <w:ind w:left="1440"/>
        <w:rPr>
          <w:rFonts w:ascii="Arial" w:hAnsi="Arial" w:cs="Arial"/>
          <w:lang w:val="es-419"/>
        </w:rPr>
      </w:pPr>
    </w:p>
    <w:p w:rsidR="00571B56" w:rsidRPr="00571B56" w:rsidRDefault="00571B56" w:rsidP="00571B56">
      <w:pPr>
        <w:pStyle w:val="ListParagraph"/>
        <w:numPr>
          <w:ilvl w:val="0"/>
          <w:numId w:val="8"/>
        </w:numPr>
        <w:spacing w:after="160" w:line="259" w:lineRule="auto"/>
        <w:rPr>
          <w:rFonts w:ascii="Arial" w:hAnsi="Arial" w:cs="Arial"/>
          <w:lang w:val="es-419"/>
        </w:rPr>
      </w:pPr>
      <w:r w:rsidRPr="00571B56">
        <w:rPr>
          <w:rFonts w:ascii="Arial" w:hAnsi="Arial" w:cs="Arial"/>
          <w:lang w:val="es-419"/>
        </w:rPr>
        <w:t>Que son alimentados con alimento formulado como esferas que no contienen parásitos vivos infecciosos para el pescado criado por acuicultura.</w:t>
      </w:r>
    </w:p>
    <w:p w:rsidR="00571B56" w:rsidRPr="00571B56" w:rsidRDefault="00571B56" w:rsidP="00571B56">
      <w:pPr>
        <w:rPr>
          <w:rFonts w:cs="Arial"/>
          <w:sz w:val="22"/>
          <w:szCs w:val="22"/>
          <w:lang w:val="es-419"/>
        </w:rPr>
      </w:pPr>
      <w:r w:rsidRPr="00571B56">
        <w:rPr>
          <w:rFonts w:cs="Arial"/>
          <w:sz w:val="22"/>
          <w:szCs w:val="22"/>
          <w:lang w:val="es-419"/>
        </w:rPr>
        <w:lastRenderedPageBreak/>
        <w:t>Se requiere una exención para ser exento de la destrucción de parásitos en pescados crudos o poco cocidos que sean un peligro parasitario.</w:t>
      </w:r>
    </w:p>
    <w:p w:rsidR="00571B56" w:rsidRPr="00571B56" w:rsidRDefault="00571B56" w:rsidP="00571B56">
      <w:pPr>
        <w:rPr>
          <w:rFonts w:cs="Arial"/>
          <w:b/>
          <w:sz w:val="22"/>
          <w:szCs w:val="22"/>
          <w:lang w:val="es-419"/>
        </w:rPr>
      </w:pPr>
    </w:p>
    <w:p w:rsidR="00571B56" w:rsidRPr="00571B56" w:rsidRDefault="00571B56" w:rsidP="00571B56">
      <w:pPr>
        <w:rPr>
          <w:rFonts w:cs="Arial"/>
          <w:b/>
          <w:sz w:val="22"/>
          <w:szCs w:val="22"/>
          <w:lang w:val="es-419"/>
        </w:rPr>
      </w:pPr>
      <w:r w:rsidRPr="00571B56">
        <w:rPr>
          <w:rFonts w:cs="Arial"/>
          <w:b/>
          <w:sz w:val="22"/>
          <w:szCs w:val="22"/>
          <w:lang w:val="es-419"/>
        </w:rPr>
        <w:t>¿Cuáles son los requisitos para la destrucción de parásitos?</w:t>
      </w:r>
    </w:p>
    <w:p w:rsidR="00571B56" w:rsidRPr="00571B56" w:rsidRDefault="00571B56" w:rsidP="00571B56">
      <w:pPr>
        <w:rPr>
          <w:rFonts w:cs="Arial"/>
          <w:sz w:val="22"/>
          <w:szCs w:val="22"/>
          <w:lang w:val="es-419"/>
        </w:rPr>
      </w:pPr>
    </w:p>
    <w:p w:rsidR="00571B56" w:rsidRPr="00571B56" w:rsidRDefault="00571B56" w:rsidP="00571B56">
      <w:pPr>
        <w:rPr>
          <w:rFonts w:cs="Arial"/>
          <w:sz w:val="22"/>
          <w:szCs w:val="22"/>
          <w:lang w:val="es-419"/>
        </w:rPr>
      </w:pPr>
      <w:r w:rsidRPr="00571B56">
        <w:rPr>
          <w:rFonts w:cs="Arial"/>
          <w:sz w:val="22"/>
          <w:szCs w:val="22"/>
          <w:lang w:val="es-419"/>
        </w:rPr>
        <w:t>A excepción de los pescados enlistados en la Sección 050.260 (B), los pescados que sean servidos crudos o parcialmente cocinados deben estar sujetos a la destrucción de parásitos por congelamiento. Existen tres métodos aceptables de tiempo/temperatura para llevar a cabo la destrucción de parásitos. Todos los métodos requieren que se archive la documentación o registros (ver pregunta 4) en el establecimiento y que estén disponibles para revisión durante una inspección del establecimiento alimentario, de conformidad con la Sección 050.260 (B).</w:t>
      </w:r>
    </w:p>
    <w:p w:rsidR="00571B56" w:rsidRPr="00571B56" w:rsidRDefault="00571B56" w:rsidP="00571B56">
      <w:pPr>
        <w:rPr>
          <w:rFonts w:cs="Arial"/>
          <w:sz w:val="22"/>
          <w:szCs w:val="22"/>
          <w:lang w:val="es-419"/>
        </w:rPr>
      </w:pPr>
      <w:r w:rsidRPr="00571B56">
        <w:rPr>
          <w:rFonts w:cs="Arial"/>
          <w:sz w:val="22"/>
          <w:szCs w:val="22"/>
          <w:lang w:val="es-419"/>
        </w:rPr>
        <w:t>Los tres métodos aceptables de tiempo/temperatura son:</w:t>
      </w:r>
    </w:p>
    <w:p w:rsidR="00571B56" w:rsidRPr="00571B56" w:rsidRDefault="00571B56" w:rsidP="00571B56">
      <w:pPr>
        <w:pStyle w:val="ListParagraph"/>
        <w:numPr>
          <w:ilvl w:val="0"/>
          <w:numId w:val="9"/>
        </w:numPr>
        <w:spacing w:after="160" w:line="259" w:lineRule="auto"/>
        <w:rPr>
          <w:rFonts w:ascii="Arial" w:hAnsi="Arial" w:cs="Arial"/>
          <w:lang w:val="es-419"/>
        </w:rPr>
      </w:pPr>
      <w:r w:rsidRPr="00571B56">
        <w:rPr>
          <w:rFonts w:ascii="Arial" w:hAnsi="Arial" w:cs="Arial"/>
          <w:lang w:val="es-419"/>
        </w:rPr>
        <w:t>El pescado debe estar congelado completamente y almacenado a una temperatura de -4°F±2° o menor por un mínimo de 168 horas (siete días) en un congelador.</w:t>
      </w:r>
    </w:p>
    <w:p w:rsidR="00571B56" w:rsidRPr="00571B56" w:rsidRDefault="00571B56" w:rsidP="00571B56">
      <w:pPr>
        <w:pStyle w:val="ListParagraph"/>
        <w:numPr>
          <w:ilvl w:val="0"/>
          <w:numId w:val="9"/>
        </w:numPr>
        <w:spacing w:after="160" w:line="259" w:lineRule="auto"/>
        <w:rPr>
          <w:rFonts w:ascii="Arial" w:hAnsi="Arial" w:cs="Arial"/>
          <w:lang w:val="es-419"/>
        </w:rPr>
      </w:pPr>
      <w:r w:rsidRPr="00571B56">
        <w:rPr>
          <w:rFonts w:ascii="Arial" w:hAnsi="Arial" w:cs="Arial"/>
          <w:lang w:val="es-419"/>
        </w:rPr>
        <w:t>El pescado debe estar congelado a una temperatura de -31°F±2° o menor hasta que esté completamente sólido y almacenado a una temperatura de -31°F±2° o menor por lo menos 15 horas.</w:t>
      </w:r>
    </w:p>
    <w:p w:rsidR="00571B56" w:rsidRPr="00571B56" w:rsidRDefault="00571B56" w:rsidP="00571B56">
      <w:pPr>
        <w:pStyle w:val="ListParagraph"/>
        <w:numPr>
          <w:ilvl w:val="0"/>
          <w:numId w:val="9"/>
        </w:numPr>
        <w:spacing w:after="160" w:line="259" w:lineRule="auto"/>
        <w:rPr>
          <w:rFonts w:ascii="Arial" w:hAnsi="Arial" w:cs="Arial"/>
          <w:lang w:val="es-419"/>
        </w:rPr>
      </w:pPr>
      <w:r w:rsidRPr="00571B56">
        <w:rPr>
          <w:rFonts w:ascii="Arial" w:hAnsi="Arial" w:cs="Arial"/>
          <w:lang w:val="es-419"/>
        </w:rPr>
        <w:t>El pescado debe estar congelado a una temperatura de -31°F±2° o menor hasta que esté completamente sólido y almacenado a una temperatura de -4°F±2° o menor por lo menos 24 horas.</w:t>
      </w:r>
    </w:p>
    <w:p w:rsidR="00571B56" w:rsidRPr="00571B56" w:rsidRDefault="00571B56" w:rsidP="00571B56">
      <w:pPr>
        <w:rPr>
          <w:rFonts w:cs="Arial"/>
          <w:b/>
          <w:sz w:val="22"/>
          <w:szCs w:val="22"/>
          <w:lang w:val="es-419"/>
        </w:rPr>
      </w:pPr>
      <w:r w:rsidRPr="00571B56">
        <w:rPr>
          <w:rFonts w:cs="Arial"/>
          <w:b/>
          <w:sz w:val="22"/>
          <w:szCs w:val="22"/>
          <w:lang w:val="es-419"/>
        </w:rPr>
        <w:t>¿Qué registros necesito mantener?</w:t>
      </w:r>
    </w:p>
    <w:p w:rsidR="00571B56" w:rsidRPr="00571B56" w:rsidRDefault="00571B56" w:rsidP="00571B56">
      <w:pPr>
        <w:rPr>
          <w:rFonts w:cs="Arial"/>
          <w:b/>
          <w:sz w:val="22"/>
          <w:szCs w:val="22"/>
          <w:lang w:val="es-419"/>
        </w:rPr>
      </w:pPr>
    </w:p>
    <w:p w:rsidR="00571B56" w:rsidRPr="00571B56" w:rsidRDefault="00571B56" w:rsidP="00571B56">
      <w:pPr>
        <w:rPr>
          <w:rFonts w:cs="Arial"/>
          <w:sz w:val="22"/>
          <w:szCs w:val="22"/>
          <w:lang w:val="es-419"/>
        </w:rPr>
      </w:pPr>
      <w:r w:rsidRPr="00571B56">
        <w:rPr>
          <w:rFonts w:cs="Arial"/>
          <w:b/>
          <w:sz w:val="22"/>
          <w:szCs w:val="22"/>
          <w:lang w:val="es-419"/>
        </w:rPr>
        <w:t xml:space="preserve">Los pescados tratados contra parásitos (congelados) por el establecimiento alimentario: </w:t>
      </w:r>
      <w:r w:rsidRPr="00571B56">
        <w:rPr>
          <w:rFonts w:cs="Arial"/>
          <w:sz w:val="22"/>
          <w:szCs w:val="22"/>
          <w:lang w:val="es-419"/>
        </w:rPr>
        <w:t>Registros que documenten la temperatura de congelamiento y el tiempo que el pescado estuvo expuesto deberán permanecer registrados en el establecimiento alimentario por 90 días después del tiempo de servicio o venta, de conformidad con la Sección 050.265. En el sitio web de Seguridad de los Alimentos hay disponibles tres registros separados de tiempo/temperatura para la destrucción de parásitos.</w:t>
      </w:r>
    </w:p>
    <w:p w:rsidR="00571B56" w:rsidRPr="00571B56" w:rsidRDefault="00571B56" w:rsidP="00571B56">
      <w:pPr>
        <w:rPr>
          <w:rFonts w:cs="Arial"/>
          <w:b/>
          <w:sz w:val="22"/>
          <w:szCs w:val="22"/>
          <w:lang w:val="es-419"/>
        </w:rPr>
      </w:pPr>
    </w:p>
    <w:p w:rsidR="00571B56" w:rsidRPr="00571B56" w:rsidRDefault="00571B56" w:rsidP="00571B56">
      <w:pPr>
        <w:rPr>
          <w:rFonts w:cs="Arial"/>
          <w:sz w:val="22"/>
          <w:szCs w:val="22"/>
          <w:lang w:val="es-419"/>
        </w:rPr>
      </w:pPr>
      <w:r w:rsidRPr="00571B56">
        <w:rPr>
          <w:rFonts w:cs="Arial"/>
          <w:b/>
          <w:sz w:val="22"/>
          <w:szCs w:val="22"/>
          <w:lang w:val="es-419"/>
        </w:rPr>
        <w:t>Los pescados tratados contra parásitos (congelados) por el distribuidor:</w:t>
      </w:r>
      <w:r w:rsidRPr="00571B56">
        <w:rPr>
          <w:rFonts w:cs="Arial"/>
          <w:sz w:val="22"/>
          <w:szCs w:val="22"/>
          <w:lang w:val="es-419"/>
        </w:rPr>
        <w:t xml:space="preserve"> Un acuerdo o declaración por escrito del distribuidor de que el pescado estaba completamente congelado de acuerdo con el tiempo/temperatura especificados en la Sección 050.260 (A) puede ser sustituido por los registros especificados en la Sección 050.265 (B).</w:t>
      </w:r>
    </w:p>
    <w:p w:rsidR="00571B56" w:rsidRPr="00571B56" w:rsidRDefault="00571B56" w:rsidP="00571B56">
      <w:pPr>
        <w:rPr>
          <w:rFonts w:cs="Arial"/>
          <w:b/>
          <w:sz w:val="22"/>
          <w:szCs w:val="22"/>
          <w:lang w:val="es-419"/>
        </w:rPr>
      </w:pPr>
    </w:p>
    <w:p w:rsidR="00571B56" w:rsidRPr="00571B56" w:rsidRDefault="00571B56" w:rsidP="00571B56">
      <w:pPr>
        <w:rPr>
          <w:rFonts w:cs="Arial"/>
          <w:sz w:val="22"/>
          <w:szCs w:val="22"/>
          <w:lang w:val="es-419"/>
        </w:rPr>
      </w:pPr>
      <w:r w:rsidRPr="00571B56">
        <w:rPr>
          <w:rFonts w:cs="Arial"/>
          <w:b/>
          <w:sz w:val="22"/>
          <w:szCs w:val="22"/>
          <w:lang w:val="es-419"/>
        </w:rPr>
        <w:t xml:space="preserve">Los pescados que fueron criados en granjas (no tratados contra parásitos): </w:t>
      </w:r>
      <w:r w:rsidRPr="00571B56">
        <w:rPr>
          <w:rFonts w:cs="Arial"/>
          <w:sz w:val="22"/>
          <w:szCs w:val="22"/>
          <w:lang w:val="es-419"/>
        </w:rPr>
        <w:t>Una declaración del distribuidor indicando que el pescado fue criado y alimentado de acuerdo con la Sección 050.260 (B) (3) debe ser guardado en el establecimiento alimentario por 90 días calendario después del tiempo de servicio o venta del pescado.</w:t>
      </w:r>
    </w:p>
    <w:p w:rsidR="00571B56" w:rsidRPr="00571B56" w:rsidRDefault="00571B56" w:rsidP="00571B56">
      <w:pPr>
        <w:rPr>
          <w:rFonts w:cs="Arial"/>
          <w:b/>
          <w:sz w:val="22"/>
          <w:szCs w:val="22"/>
          <w:lang w:val="es-419"/>
        </w:rPr>
      </w:pPr>
    </w:p>
    <w:p w:rsidR="00571B56" w:rsidRPr="00571B56" w:rsidRDefault="00571B56" w:rsidP="00571B56">
      <w:pPr>
        <w:rPr>
          <w:rFonts w:cs="Arial"/>
          <w:b/>
          <w:sz w:val="22"/>
          <w:szCs w:val="22"/>
          <w:lang w:val="es-419"/>
        </w:rPr>
      </w:pPr>
      <w:r w:rsidRPr="00571B56">
        <w:rPr>
          <w:rFonts w:cs="Arial"/>
          <w:b/>
          <w:sz w:val="22"/>
          <w:szCs w:val="22"/>
          <w:lang w:val="es-419"/>
        </w:rPr>
        <w:t>¿En dónde puedo obtener más información?</w:t>
      </w:r>
    </w:p>
    <w:p w:rsidR="00571B56" w:rsidRPr="00571B56" w:rsidRDefault="00571B56" w:rsidP="00571B56">
      <w:pPr>
        <w:rPr>
          <w:rFonts w:cs="Arial"/>
          <w:sz w:val="22"/>
          <w:szCs w:val="22"/>
          <w:lang w:val="es-419"/>
        </w:rPr>
      </w:pPr>
      <w:r w:rsidRPr="00571B56">
        <w:rPr>
          <w:rFonts w:cs="Arial"/>
          <w:sz w:val="22"/>
          <w:szCs w:val="22"/>
          <w:lang w:val="es-419"/>
        </w:rPr>
        <w:t>El documento de FDA contiene información detallada de la destrucción de parásitos. Ver capítulo 5. “Fish and Fisheries Products Hazards and Controls Guidance”</w:t>
      </w:r>
    </w:p>
    <w:p w:rsidR="00571B56" w:rsidRPr="00571B56" w:rsidRDefault="00571B56" w:rsidP="00571B56">
      <w:pPr>
        <w:rPr>
          <w:rFonts w:cs="Arial"/>
          <w:sz w:val="22"/>
          <w:szCs w:val="22"/>
          <w:lang w:val="es-419"/>
        </w:rPr>
      </w:pPr>
      <w:r w:rsidRPr="00571B56">
        <w:rPr>
          <w:rFonts w:cs="Arial"/>
          <w:sz w:val="22"/>
          <w:szCs w:val="22"/>
          <w:lang w:val="es-419"/>
        </w:rPr>
        <w:t>El documento de FDA contiene tablas con tipos de pescados (vertebrados e invertebrados) y sus peligros asociados. Ver capítulo 3. “Fish and Fisheries Products Hazards and Controls Guidance”</w:t>
      </w:r>
    </w:p>
    <w:p w:rsidR="00571B56" w:rsidRPr="00571B56" w:rsidRDefault="00571B56" w:rsidP="00571B56">
      <w:pPr>
        <w:rPr>
          <w:rFonts w:cs="Arial"/>
          <w:sz w:val="22"/>
          <w:szCs w:val="22"/>
          <w:lang w:val="es-419"/>
        </w:rPr>
      </w:pPr>
      <w:r w:rsidRPr="00571B56">
        <w:rPr>
          <w:rFonts w:cs="Arial"/>
          <w:sz w:val="22"/>
          <w:szCs w:val="22"/>
          <w:lang w:val="es-419"/>
        </w:rPr>
        <w:t>Si tiene preguntas adicionales, contacte a su inspector de establecimiento alimentario.</w:t>
      </w:r>
    </w:p>
    <w:p w:rsidR="00571B56" w:rsidRPr="00D700A0" w:rsidRDefault="00571B56" w:rsidP="00B74F8F">
      <w:pPr>
        <w:spacing w:after="200" w:line="276" w:lineRule="auto"/>
        <w:contextualSpacing/>
        <w:rPr>
          <w:rFonts w:asciiTheme="minorHAnsi" w:eastAsiaTheme="minorHAnsi" w:hAnsiTheme="minorHAnsi" w:cstheme="minorBidi"/>
          <w:spacing w:val="0"/>
          <w:sz w:val="24"/>
          <w:szCs w:val="24"/>
        </w:rPr>
      </w:pPr>
    </w:p>
    <w:sectPr w:rsidR="00571B56" w:rsidRPr="00D700A0" w:rsidSect="00B259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7E" w:rsidRDefault="00E34F7E">
      <w:r>
        <w:separator/>
      </w:r>
    </w:p>
  </w:endnote>
  <w:endnote w:type="continuationSeparator" w:id="0">
    <w:p w:rsidR="00E34F7E" w:rsidRDefault="00E34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otham">
    <w:altName w:val="Arial"/>
    <w:panose1 w:val="00000000000000000000"/>
    <w:charset w:val="00"/>
    <w:family w:val="modern"/>
    <w:notTrueType/>
    <w:pitch w:val="variable"/>
    <w:sig w:usb0="800000AF" w:usb1="5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1E" w:rsidRDefault="00530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0E1E" w:rsidRDefault="00530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4D" w:rsidRDefault="008D1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A7" w:rsidRDefault="00B259F7" w:rsidP="000005A7">
    <w:pPr>
      <w:rPr>
        <w:rFonts w:ascii="Times New Roman" w:hAnsi="Times New Roman"/>
      </w:rPr>
    </w:pPr>
    <w:r w:rsidRPr="00B259F7">
      <w:rPr>
        <w:rFonts w:ascii="Gotham" w:hAnsi="Gotham"/>
        <w:noProof/>
      </w:rPr>
      <w:drawing>
        <wp:anchor distT="0" distB="0" distL="114300" distR="114300" simplePos="0" relativeHeight="251659264" behindDoc="0" locked="0" layoutInCell="1" allowOverlap="1" wp14:anchorId="4B35959C" wp14:editId="61B95810">
          <wp:simplePos x="0" y="0"/>
          <wp:positionH relativeFrom="page">
            <wp:posOffset>6697345</wp:posOffset>
          </wp:positionH>
          <wp:positionV relativeFrom="paragraph">
            <wp:posOffset>106045</wp:posOffset>
          </wp:positionV>
          <wp:extent cx="623570" cy="542290"/>
          <wp:effectExtent l="0" t="0" r="508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35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5A7" w:rsidRPr="00B259F7" w:rsidRDefault="00774A0E" w:rsidP="00B259F7">
    <w:pPr>
      <w:ind w:left="-720"/>
      <w:rPr>
        <w:rFonts w:ascii="Gotham" w:eastAsia="Lucida Sans" w:hAnsi="Gotham" w:cs="Lucida Sans"/>
        <w:sz w:val="18"/>
        <w:szCs w:val="18"/>
      </w:rPr>
    </w:pPr>
    <w:r w:rsidRPr="00B259F7">
      <w:rPr>
        <w:rFonts w:ascii="Gotham" w:hAnsi="Gotham"/>
        <w:color w:val="002A5C"/>
        <w:spacing w:val="-4"/>
        <w:w w:val="110"/>
        <w:sz w:val="18"/>
      </w:rPr>
      <w:t>ENVIRONMENTAL</w:t>
    </w:r>
    <w:r w:rsidR="000005A7" w:rsidRPr="00B259F7">
      <w:rPr>
        <w:rFonts w:ascii="Gotham" w:hAnsi="Gotham"/>
        <w:color w:val="002A5C"/>
        <w:spacing w:val="-4"/>
        <w:w w:val="110"/>
        <w:sz w:val="18"/>
      </w:rPr>
      <w:t xml:space="preserve"> HEAL</w:t>
    </w:r>
    <w:r w:rsidR="000005A7" w:rsidRPr="00B259F7">
      <w:rPr>
        <w:rFonts w:ascii="Gotham" w:hAnsi="Gotham"/>
        <w:color w:val="002A5C"/>
        <w:w w:val="110"/>
        <w:sz w:val="18"/>
      </w:rPr>
      <w:t>TH</w:t>
    </w:r>
    <w:r w:rsidR="000005A7" w:rsidRPr="00B259F7">
      <w:rPr>
        <w:rFonts w:ascii="Gotham" w:hAnsi="Gotham"/>
        <w:color w:val="002A5C"/>
        <w:spacing w:val="-4"/>
        <w:w w:val="110"/>
        <w:sz w:val="18"/>
      </w:rPr>
      <w:t xml:space="preserve"> </w:t>
    </w:r>
    <w:r w:rsidR="000005A7" w:rsidRPr="00B259F7">
      <w:rPr>
        <w:rFonts w:ascii="Gotham" w:hAnsi="Gotham"/>
        <w:color w:val="002A5C"/>
        <w:spacing w:val="-2"/>
        <w:w w:val="110"/>
        <w:sz w:val="18"/>
      </w:rPr>
      <w:t>SERVICES</w:t>
    </w:r>
  </w:p>
  <w:p w:rsidR="000005A7" w:rsidRPr="00B259F7" w:rsidRDefault="000005A7" w:rsidP="00B259F7">
    <w:pPr>
      <w:pStyle w:val="BodyText"/>
      <w:spacing w:after="0" w:line="240" w:lineRule="auto"/>
      <w:ind w:left="-720"/>
      <w:rPr>
        <w:rFonts w:ascii="Gotham" w:hAnsi="Gotham"/>
        <w:color w:val="002A5C"/>
        <w:spacing w:val="-4"/>
        <w:w w:val="110"/>
        <w:sz w:val="18"/>
      </w:rPr>
    </w:pPr>
    <w:r w:rsidRPr="00B259F7">
      <w:rPr>
        <w:rFonts w:ascii="Gotham" w:hAnsi="Gotham"/>
        <w:color w:val="002A5C"/>
        <w:spacing w:val="-4"/>
        <w:w w:val="110"/>
        <w:sz w:val="18"/>
      </w:rPr>
      <w:t>1001 East Ninth Street   I   P.O. Box 11130   I   Reno, Nevada 89520</w:t>
    </w:r>
  </w:p>
  <w:p w:rsidR="000005A7" w:rsidRPr="00B259F7" w:rsidRDefault="00774A0E" w:rsidP="00B259F7">
    <w:pPr>
      <w:pStyle w:val="BodyText"/>
      <w:spacing w:after="0" w:line="240" w:lineRule="auto"/>
      <w:ind w:left="-720"/>
      <w:rPr>
        <w:rFonts w:ascii="Gotham" w:hAnsi="Gotham"/>
        <w:color w:val="002A5C"/>
        <w:spacing w:val="-4"/>
        <w:w w:val="110"/>
        <w:sz w:val="18"/>
      </w:rPr>
    </w:pPr>
    <w:r w:rsidRPr="00B259F7">
      <w:rPr>
        <w:rFonts w:ascii="Gotham" w:hAnsi="Gotham"/>
        <w:color w:val="002A5C"/>
        <w:spacing w:val="-4"/>
        <w:w w:val="110"/>
        <w:sz w:val="18"/>
      </w:rPr>
      <w:t>E</w:t>
    </w:r>
    <w:r w:rsidR="000005A7" w:rsidRPr="00B259F7">
      <w:rPr>
        <w:rFonts w:ascii="Gotham" w:hAnsi="Gotham"/>
        <w:color w:val="002A5C"/>
        <w:spacing w:val="-4"/>
        <w:w w:val="110"/>
        <w:sz w:val="18"/>
      </w:rPr>
      <w:t xml:space="preserve">HS </w:t>
    </w:r>
    <w:r w:rsidRPr="00B259F7">
      <w:rPr>
        <w:rFonts w:ascii="Gotham" w:hAnsi="Gotham"/>
        <w:color w:val="002A5C"/>
        <w:spacing w:val="-4"/>
        <w:w w:val="110"/>
        <w:sz w:val="18"/>
      </w:rPr>
      <w:t>Phone</w:t>
    </w:r>
    <w:r w:rsidR="000005A7" w:rsidRPr="00B259F7">
      <w:rPr>
        <w:rFonts w:ascii="Gotham" w:hAnsi="Gotham"/>
        <w:color w:val="002A5C"/>
        <w:spacing w:val="-4"/>
        <w:w w:val="110"/>
        <w:sz w:val="18"/>
      </w:rPr>
      <w:t>: 775-328-24</w:t>
    </w:r>
    <w:r w:rsidRPr="00B259F7">
      <w:rPr>
        <w:rFonts w:ascii="Gotham" w:hAnsi="Gotham"/>
        <w:color w:val="002A5C"/>
        <w:spacing w:val="-4"/>
        <w:w w:val="110"/>
        <w:sz w:val="18"/>
      </w:rPr>
      <w:t>34</w:t>
    </w:r>
    <w:r w:rsidR="000005A7" w:rsidRPr="00B259F7">
      <w:rPr>
        <w:rFonts w:ascii="Gotham" w:hAnsi="Gotham"/>
        <w:color w:val="002A5C"/>
        <w:spacing w:val="-4"/>
        <w:w w:val="110"/>
        <w:sz w:val="18"/>
      </w:rPr>
      <w:t xml:space="preserve">   I   Fax: 775-328-</w:t>
    </w:r>
    <w:r w:rsidRPr="00B259F7">
      <w:rPr>
        <w:rFonts w:ascii="Gotham" w:hAnsi="Gotham"/>
        <w:color w:val="002A5C"/>
        <w:spacing w:val="-4"/>
        <w:w w:val="110"/>
        <w:sz w:val="18"/>
      </w:rPr>
      <w:t>6176</w:t>
    </w:r>
    <w:r w:rsidR="000005A7" w:rsidRPr="00B259F7">
      <w:rPr>
        <w:rFonts w:ascii="Gotham" w:hAnsi="Gotham"/>
        <w:color w:val="002A5C"/>
        <w:spacing w:val="-4"/>
        <w:w w:val="110"/>
        <w:sz w:val="18"/>
      </w:rPr>
      <w:t xml:space="preserve">   I   washoecounty.us/health</w:t>
    </w:r>
  </w:p>
  <w:p w:rsidR="000005A7" w:rsidRPr="00B259F7" w:rsidRDefault="000005A7" w:rsidP="00B259F7">
    <w:pPr>
      <w:ind w:left="-720"/>
      <w:rPr>
        <w:rFonts w:ascii="Gotham" w:eastAsia="Lucida Sans" w:hAnsi="Gotham" w:cs="Lucida Sans"/>
        <w:sz w:val="14"/>
        <w:szCs w:val="14"/>
      </w:rPr>
    </w:pPr>
    <w:r w:rsidRPr="00B259F7">
      <w:rPr>
        <w:rFonts w:ascii="Gotham" w:hAnsi="Gotham"/>
        <w:color w:val="002A5C"/>
        <w:spacing w:val="-1"/>
        <w:w w:val="105"/>
        <w:sz w:val="14"/>
      </w:rPr>
      <w:t>Serving</w:t>
    </w:r>
    <w:r w:rsidRPr="00B259F7">
      <w:rPr>
        <w:rFonts w:ascii="Gotham" w:hAnsi="Gotham"/>
        <w:color w:val="002A5C"/>
        <w:spacing w:val="-14"/>
        <w:w w:val="105"/>
        <w:sz w:val="14"/>
      </w:rPr>
      <w:t xml:space="preserve"> </w:t>
    </w:r>
    <w:r w:rsidRPr="00B259F7">
      <w:rPr>
        <w:rFonts w:ascii="Gotham" w:hAnsi="Gotham"/>
        <w:color w:val="002A5C"/>
        <w:spacing w:val="-2"/>
        <w:w w:val="105"/>
        <w:sz w:val="14"/>
      </w:rPr>
      <w:t>Reno,</w:t>
    </w:r>
    <w:r w:rsidRPr="00B259F7">
      <w:rPr>
        <w:rFonts w:ascii="Gotham" w:hAnsi="Gotham"/>
        <w:color w:val="002A5C"/>
        <w:spacing w:val="-13"/>
        <w:w w:val="105"/>
        <w:sz w:val="14"/>
      </w:rPr>
      <w:t xml:space="preserve"> </w:t>
    </w:r>
    <w:r w:rsidRPr="00B259F7">
      <w:rPr>
        <w:rFonts w:ascii="Gotham" w:hAnsi="Gotham"/>
        <w:color w:val="002A5C"/>
        <w:spacing w:val="-1"/>
        <w:w w:val="105"/>
        <w:sz w:val="14"/>
      </w:rPr>
      <w:t>Sparks</w:t>
    </w:r>
    <w:r w:rsidRPr="00B259F7">
      <w:rPr>
        <w:rFonts w:ascii="Gotham" w:hAnsi="Gotham"/>
        <w:color w:val="002A5C"/>
        <w:spacing w:val="-13"/>
        <w:w w:val="105"/>
        <w:sz w:val="14"/>
      </w:rPr>
      <w:t xml:space="preserve"> </w:t>
    </w:r>
    <w:r w:rsidRPr="00B259F7">
      <w:rPr>
        <w:rFonts w:ascii="Gotham" w:hAnsi="Gotham"/>
        <w:color w:val="002A5C"/>
        <w:spacing w:val="-2"/>
        <w:w w:val="105"/>
        <w:sz w:val="14"/>
      </w:rPr>
      <w:t>and</w:t>
    </w:r>
    <w:r w:rsidRPr="00B259F7">
      <w:rPr>
        <w:rFonts w:ascii="Gotham" w:hAnsi="Gotham"/>
        <w:color w:val="002A5C"/>
        <w:spacing w:val="-13"/>
        <w:w w:val="105"/>
        <w:sz w:val="14"/>
      </w:rPr>
      <w:t xml:space="preserve"> </w:t>
    </w:r>
    <w:r w:rsidRPr="00B259F7">
      <w:rPr>
        <w:rFonts w:ascii="Gotham" w:hAnsi="Gotham"/>
        <w:color w:val="002A5C"/>
        <w:spacing w:val="-2"/>
        <w:w w:val="105"/>
        <w:sz w:val="14"/>
      </w:rPr>
      <w:t>all</w:t>
    </w:r>
    <w:r w:rsidRPr="00B259F7">
      <w:rPr>
        <w:rFonts w:ascii="Gotham" w:hAnsi="Gotham"/>
        <w:color w:val="002A5C"/>
        <w:spacing w:val="-13"/>
        <w:w w:val="105"/>
        <w:sz w:val="14"/>
      </w:rPr>
      <w:t xml:space="preserve"> </w:t>
    </w:r>
    <w:r w:rsidRPr="00B259F7">
      <w:rPr>
        <w:rFonts w:ascii="Gotham" w:hAnsi="Gotham"/>
        <w:color w:val="002A5C"/>
        <w:spacing w:val="-2"/>
        <w:w w:val="105"/>
        <w:sz w:val="14"/>
      </w:rPr>
      <w:t>of</w:t>
    </w:r>
    <w:r w:rsidRPr="00B259F7">
      <w:rPr>
        <w:rFonts w:ascii="Gotham" w:hAnsi="Gotham"/>
        <w:color w:val="002A5C"/>
        <w:spacing w:val="-14"/>
        <w:w w:val="105"/>
        <w:sz w:val="14"/>
      </w:rPr>
      <w:t xml:space="preserve"> </w:t>
    </w:r>
    <w:r w:rsidRPr="00B259F7">
      <w:rPr>
        <w:rFonts w:ascii="Gotham" w:hAnsi="Gotham"/>
        <w:color w:val="002A5C"/>
        <w:spacing w:val="-1"/>
        <w:w w:val="105"/>
        <w:sz w:val="14"/>
      </w:rPr>
      <w:t>Washoe</w:t>
    </w:r>
    <w:r w:rsidRPr="00B259F7">
      <w:rPr>
        <w:rFonts w:ascii="Gotham" w:hAnsi="Gotham"/>
        <w:color w:val="002A5C"/>
        <w:spacing w:val="-13"/>
        <w:w w:val="105"/>
        <w:sz w:val="14"/>
      </w:rPr>
      <w:t xml:space="preserve"> </w:t>
    </w:r>
    <w:r w:rsidRPr="00B259F7">
      <w:rPr>
        <w:rFonts w:ascii="Gotham" w:hAnsi="Gotham"/>
        <w:color w:val="002A5C"/>
        <w:spacing w:val="-2"/>
        <w:w w:val="105"/>
        <w:sz w:val="14"/>
      </w:rPr>
      <w:t>County,</w:t>
    </w:r>
    <w:r w:rsidRPr="00B259F7">
      <w:rPr>
        <w:rFonts w:ascii="Gotham" w:hAnsi="Gotham"/>
        <w:color w:val="002A5C"/>
        <w:spacing w:val="-13"/>
        <w:w w:val="105"/>
        <w:sz w:val="14"/>
      </w:rPr>
      <w:t xml:space="preserve"> </w:t>
    </w:r>
    <w:r w:rsidRPr="00B259F7">
      <w:rPr>
        <w:rFonts w:ascii="Gotham" w:hAnsi="Gotham"/>
        <w:color w:val="002A5C"/>
        <w:spacing w:val="-1"/>
        <w:w w:val="105"/>
        <w:sz w:val="14"/>
      </w:rPr>
      <w:t>Nevada.</w:t>
    </w:r>
    <w:r w:rsidRPr="00B259F7">
      <w:rPr>
        <w:rFonts w:ascii="Gotham" w:hAnsi="Gotham"/>
        <w:color w:val="002A5C"/>
        <w:spacing w:val="-13"/>
        <w:w w:val="105"/>
        <w:sz w:val="14"/>
      </w:rPr>
      <w:t xml:space="preserve"> </w:t>
    </w:r>
    <w:r w:rsidRPr="00B259F7">
      <w:rPr>
        <w:rFonts w:ascii="Gotham" w:hAnsi="Gotham"/>
        <w:color w:val="002A5C"/>
        <w:spacing w:val="-1"/>
        <w:w w:val="105"/>
        <w:sz w:val="14"/>
      </w:rPr>
      <w:t>Washoe</w:t>
    </w:r>
    <w:r w:rsidRPr="00B259F7">
      <w:rPr>
        <w:rFonts w:ascii="Gotham" w:hAnsi="Gotham"/>
        <w:color w:val="002A5C"/>
        <w:spacing w:val="-14"/>
        <w:w w:val="105"/>
        <w:sz w:val="14"/>
      </w:rPr>
      <w:t xml:space="preserve"> </w:t>
    </w:r>
    <w:r w:rsidRPr="00B259F7">
      <w:rPr>
        <w:rFonts w:ascii="Gotham" w:hAnsi="Gotham"/>
        <w:color w:val="002A5C"/>
        <w:spacing w:val="-1"/>
        <w:w w:val="105"/>
        <w:sz w:val="14"/>
      </w:rPr>
      <w:t>County</w:t>
    </w:r>
    <w:r w:rsidRPr="00B259F7">
      <w:rPr>
        <w:rFonts w:ascii="Gotham" w:hAnsi="Gotham"/>
        <w:color w:val="002A5C"/>
        <w:spacing w:val="-13"/>
        <w:w w:val="105"/>
        <w:sz w:val="14"/>
      </w:rPr>
      <w:t xml:space="preserve"> </w:t>
    </w:r>
    <w:r w:rsidRPr="00B259F7">
      <w:rPr>
        <w:rFonts w:ascii="Gotham" w:hAnsi="Gotham"/>
        <w:color w:val="002A5C"/>
        <w:spacing w:val="-2"/>
        <w:w w:val="105"/>
        <w:sz w:val="14"/>
      </w:rPr>
      <w:t>is</w:t>
    </w:r>
    <w:r w:rsidRPr="00B259F7">
      <w:rPr>
        <w:rFonts w:ascii="Gotham" w:hAnsi="Gotham"/>
        <w:color w:val="002A5C"/>
        <w:spacing w:val="-13"/>
        <w:w w:val="105"/>
        <w:sz w:val="14"/>
      </w:rPr>
      <w:t xml:space="preserve"> </w:t>
    </w:r>
    <w:r w:rsidRPr="00B259F7">
      <w:rPr>
        <w:rFonts w:ascii="Gotham" w:hAnsi="Gotham"/>
        <w:color w:val="002A5C"/>
        <w:spacing w:val="-2"/>
        <w:w w:val="105"/>
        <w:sz w:val="14"/>
      </w:rPr>
      <w:t>an</w:t>
    </w:r>
    <w:r w:rsidRPr="00B259F7">
      <w:rPr>
        <w:rFonts w:ascii="Gotham" w:hAnsi="Gotham"/>
        <w:color w:val="002A5C"/>
        <w:spacing w:val="-13"/>
        <w:w w:val="105"/>
        <w:sz w:val="14"/>
      </w:rPr>
      <w:t xml:space="preserve"> </w:t>
    </w:r>
    <w:r w:rsidRPr="00B259F7">
      <w:rPr>
        <w:rFonts w:ascii="Gotham" w:hAnsi="Gotham"/>
        <w:color w:val="002A5C"/>
        <w:spacing w:val="-1"/>
        <w:w w:val="105"/>
        <w:sz w:val="14"/>
      </w:rPr>
      <w:t>Equal</w:t>
    </w:r>
    <w:r w:rsidRPr="00B259F7">
      <w:rPr>
        <w:rFonts w:ascii="Gotham" w:hAnsi="Gotham"/>
        <w:color w:val="002A5C"/>
        <w:spacing w:val="-13"/>
        <w:w w:val="105"/>
        <w:sz w:val="14"/>
      </w:rPr>
      <w:t xml:space="preserve"> </w:t>
    </w:r>
    <w:r w:rsidRPr="00B259F7">
      <w:rPr>
        <w:rFonts w:ascii="Gotham" w:hAnsi="Gotham"/>
        <w:color w:val="002A5C"/>
        <w:spacing w:val="-1"/>
        <w:w w:val="105"/>
        <w:sz w:val="14"/>
      </w:rPr>
      <w:t>Opportunity</w:t>
    </w:r>
    <w:r w:rsidRPr="00B259F7">
      <w:rPr>
        <w:rFonts w:ascii="Gotham" w:hAnsi="Gotham"/>
        <w:color w:val="002A5C"/>
        <w:spacing w:val="-14"/>
        <w:w w:val="105"/>
        <w:sz w:val="14"/>
      </w:rPr>
      <w:t xml:space="preserve"> </w:t>
    </w:r>
    <w:r w:rsidRPr="00B259F7">
      <w:rPr>
        <w:rFonts w:ascii="Gotham" w:hAnsi="Gotham"/>
        <w:color w:val="002A5C"/>
        <w:spacing w:val="-1"/>
        <w:w w:val="105"/>
        <w:sz w:val="14"/>
      </w:rPr>
      <w:t>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7E" w:rsidRDefault="00E34F7E">
      <w:r>
        <w:separator/>
      </w:r>
    </w:p>
  </w:footnote>
  <w:footnote w:type="continuationSeparator" w:id="0">
    <w:p w:rsidR="00E34F7E" w:rsidRDefault="00E34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4D" w:rsidRDefault="008D1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E5A" w:rsidRPr="006B7522" w:rsidRDefault="00056E5A" w:rsidP="00056E5A">
    <w:pPr>
      <w:rPr>
        <w:rFonts w:ascii="Lucida Sans"/>
        <w:spacing w:val="-4"/>
        <w:w w:val="110"/>
        <w:sz w:val="18"/>
      </w:rPr>
    </w:pPr>
    <w:bookmarkStart w:id="0" w:name="_GoBack"/>
    <w:bookmarkEnd w:id="0"/>
    <w:r w:rsidRPr="006B7522">
      <w:rPr>
        <w:rFonts w:ascii="Lucida Sans"/>
        <w:spacing w:val="-4"/>
        <w:w w:val="110"/>
        <w:sz w:val="18"/>
      </w:rPr>
      <w:t xml:space="preserve">Page </w:t>
    </w:r>
    <w:r w:rsidRPr="006B7522">
      <w:rPr>
        <w:rFonts w:ascii="Lucida Sans"/>
        <w:b/>
        <w:spacing w:val="-4"/>
        <w:w w:val="110"/>
        <w:sz w:val="18"/>
      </w:rPr>
      <w:fldChar w:fldCharType="begin"/>
    </w:r>
    <w:r w:rsidRPr="006B7522">
      <w:rPr>
        <w:rFonts w:ascii="Lucida Sans"/>
        <w:b/>
        <w:spacing w:val="-4"/>
        <w:w w:val="110"/>
        <w:sz w:val="18"/>
      </w:rPr>
      <w:instrText xml:space="preserve"> PAGE  \* Arabic  \* MERGEFORMAT </w:instrText>
    </w:r>
    <w:r w:rsidRPr="006B7522">
      <w:rPr>
        <w:rFonts w:ascii="Lucida Sans"/>
        <w:b/>
        <w:spacing w:val="-4"/>
        <w:w w:val="110"/>
        <w:sz w:val="18"/>
      </w:rPr>
      <w:fldChar w:fldCharType="separate"/>
    </w:r>
    <w:r w:rsidR="008D144D">
      <w:rPr>
        <w:rFonts w:ascii="Lucida Sans"/>
        <w:b/>
        <w:noProof/>
        <w:spacing w:val="-4"/>
        <w:w w:val="110"/>
        <w:sz w:val="18"/>
      </w:rPr>
      <w:t>2</w:t>
    </w:r>
    <w:r w:rsidRPr="006B7522">
      <w:rPr>
        <w:rFonts w:ascii="Lucida Sans"/>
        <w:b/>
        <w:spacing w:val="-4"/>
        <w:w w:val="110"/>
        <w:sz w:val="18"/>
      </w:rPr>
      <w:fldChar w:fldCharType="end"/>
    </w:r>
    <w:r w:rsidRPr="006B7522">
      <w:rPr>
        <w:rFonts w:ascii="Lucida Sans"/>
        <w:spacing w:val="-4"/>
        <w:w w:val="110"/>
        <w:sz w:val="18"/>
      </w:rPr>
      <w:t xml:space="preserve"> of </w:t>
    </w:r>
    <w:r w:rsidRPr="006B7522">
      <w:rPr>
        <w:rFonts w:ascii="Lucida Sans"/>
        <w:b/>
        <w:spacing w:val="-4"/>
        <w:w w:val="110"/>
        <w:sz w:val="18"/>
      </w:rPr>
      <w:fldChar w:fldCharType="begin"/>
    </w:r>
    <w:r w:rsidRPr="006B7522">
      <w:rPr>
        <w:rFonts w:ascii="Lucida Sans"/>
        <w:b/>
        <w:spacing w:val="-4"/>
        <w:w w:val="110"/>
        <w:sz w:val="18"/>
      </w:rPr>
      <w:instrText xml:space="preserve"> NUMPAGES  \* Arabic  \* MERGEFORMAT </w:instrText>
    </w:r>
    <w:r w:rsidRPr="006B7522">
      <w:rPr>
        <w:rFonts w:ascii="Lucida Sans"/>
        <w:b/>
        <w:spacing w:val="-4"/>
        <w:w w:val="110"/>
        <w:sz w:val="18"/>
      </w:rPr>
      <w:fldChar w:fldCharType="separate"/>
    </w:r>
    <w:r w:rsidR="008D144D">
      <w:rPr>
        <w:rFonts w:ascii="Lucida Sans"/>
        <w:b/>
        <w:noProof/>
        <w:spacing w:val="-4"/>
        <w:w w:val="110"/>
        <w:sz w:val="18"/>
      </w:rPr>
      <w:t>2</w:t>
    </w:r>
    <w:r w:rsidRPr="006B7522">
      <w:rPr>
        <w:rFonts w:ascii="Lucida Sans"/>
        <w:b/>
        <w:spacing w:val="-4"/>
        <w:w w:val="110"/>
        <w:sz w:val="18"/>
      </w:rPr>
      <w:fldChar w:fldCharType="end"/>
    </w:r>
  </w:p>
  <w:p w:rsidR="00056E5A" w:rsidRPr="005C4A7D" w:rsidRDefault="00056E5A">
    <w:pPr>
      <w:rPr>
        <w:rFonts w:ascii="Lucida Sans"/>
        <w:color w:val="002A5C"/>
        <w:spacing w:val="-4"/>
        <w:w w:val="110"/>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1E" w:rsidRDefault="000005A7" w:rsidP="00B259F7">
    <w:pPr>
      <w:pStyle w:val="Header"/>
      <w:spacing w:after="0" w:line="240" w:lineRule="auto"/>
      <w:ind w:left="-900"/>
    </w:pPr>
    <w:r>
      <w:rPr>
        <w:noProof/>
      </w:rPr>
      <w:drawing>
        <wp:anchor distT="0" distB="0" distL="114300" distR="114300" simplePos="0" relativeHeight="251660288" behindDoc="1" locked="0" layoutInCell="1" allowOverlap="1" wp14:anchorId="6D4E1699" wp14:editId="67C5CB43">
          <wp:simplePos x="0" y="0"/>
          <wp:positionH relativeFrom="column">
            <wp:posOffset>-571500</wp:posOffset>
          </wp:positionH>
          <wp:positionV relativeFrom="paragraph">
            <wp:posOffset>-243840</wp:posOffset>
          </wp:positionV>
          <wp:extent cx="2231136" cy="804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1136" cy="80467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E94"/>
    <w:multiLevelType w:val="hybridMultilevel"/>
    <w:tmpl w:val="F446B6DE"/>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B444F3"/>
    <w:multiLevelType w:val="hybridMultilevel"/>
    <w:tmpl w:val="C8A28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684F39"/>
    <w:multiLevelType w:val="hybridMultilevel"/>
    <w:tmpl w:val="5FE683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A467C4"/>
    <w:multiLevelType w:val="hybridMultilevel"/>
    <w:tmpl w:val="15E687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1106EC"/>
    <w:multiLevelType w:val="hybridMultilevel"/>
    <w:tmpl w:val="784C627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643C83"/>
    <w:multiLevelType w:val="hybridMultilevel"/>
    <w:tmpl w:val="6AB4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9BB4363"/>
    <w:multiLevelType w:val="hybridMultilevel"/>
    <w:tmpl w:val="CAACE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A2662E"/>
    <w:multiLevelType w:val="singleLevel"/>
    <w:tmpl w:val="0409000F"/>
    <w:lvl w:ilvl="0">
      <w:start w:val="1"/>
      <w:numFmt w:val="decimal"/>
      <w:lvlText w:val="%1."/>
      <w:lvlJc w:val="left"/>
      <w:pPr>
        <w:tabs>
          <w:tab w:val="num" w:pos="360"/>
        </w:tabs>
        <w:ind w:left="360" w:hanging="360"/>
      </w:pPr>
    </w:lvl>
  </w:abstractNum>
  <w:abstractNum w:abstractNumId="8">
    <w:nsid w:val="67D0595B"/>
    <w:multiLevelType w:val="singleLevel"/>
    <w:tmpl w:val="A16C5A64"/>
    <w:lvl w:ilvl="0">
      <w:numFmt w:val="bullet"/>
      <w:lvlText w:val="-"/>
      <w:lvlJc w:val="left"/>
      <w:pPr>
        <w:tabs>
          <w:tab w:val="num" w:pos="4500"/>
        </w:tabs>
        <w:ind w:left="4500" w:hanging="360"/>
      </w:pPr>
      <w:rPr>
        <w:rFonts w:hint="default"/>
      </w:rPr>
    </w:lvl>
  </w:abstractNum>
  <w:num w:numId="1">
    <w:abstractNumId w:val="7"/>
  </w:num>
  <w:num w:numId="2">
    <w:abstractNumId w:val="8"/>
  </w:num>
  <w:num w:numId="3">
    <w:abstractNumId w:val="5"/>
  </w:num>
  <w:num w:numId="4">
    <w:abstractNumId w:val="1"/>
  </w:num>
  <w:num w:numId="5">
    <w:abstractNumId w:val="3"/>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2EE"/>
    <w:rsid w:val="000005A7"/>
    <w:rsid w:val="00056E5A"/>
    <w:rsid w:val="0007603D"/>
    <w:rsid w:val="00096E7C"/>
    <w:rsid w:val="000C6048"/>
    <w:rsid w:val="00141CE7"/>
    <w:rsid w:val="0015603B"/>
    <w:rsid w:val="001A4A51"/>
    <w:rsid w:val="001E1B38"/>
    <w:rsid w:val="001F685A"/>
    <w:rsid w:val="0021631A"/>
    <w:rsid w:val="00263B67"/>
    <w:rsid w:val="002E418C"/>
    <w:rsid w:val="00302445"/>
    <w:rsid w:val="00384440"/>
    <w:rsid w:val="0039280A"/>
    <w:rsid w:val="003931A1"/>
    <w:rsid w:val="00396C4A"/>
    <w:rsid w:val="003C4180"/>
    <w:rsid w:val="003C7CE9"/>
    <w:rsid w:val="003F4F09"/>
    <w:rsid w:val="004028C4"/>
    <w:rsid w:val="00450A58"/>
    <w:rsid w:val="00484271"/>
    <w:rsid w:val="00485F4A"/>
    <w:rsid w:val="004C76EE"/>
    <w:rsid w:val="004E0F9E"/>
    <w:rsid w:val="004E30BC"/>
    <w:rsid w:val="005257E8"/>
    <w:rsid w:val="00530E1E"/>
    <w:rsid w:val="0053511F"/>
    <w:rsid w:val="00571B56"/>
    <w:rsid w:val="005C48CE"/>
    <w:rsid w:val="005C4A7D"/>
    <w:rsid w:val="005D2497"/>
    <w:rsid w:val="005F7C59"/>
    <w:rsid w:val="00621C22"/>
    <w:rsid w:val="00655E04"/>
    <w:rsid w:val="006834F3"/>
    <w:rsid w:val="00687DEC"/>
    <w:rsid w:val="006A2349"/>
    <w:rsid w:val="006B7522"/>
    <w:rsid w:val="00704FAE"/>
    <w:rsid w:val="007211E3"/>
    <w:rsid w:val="007609FF"/>
    <w:rsid w:val="00765A5B"/>
    <w:rsid w:val="00774A0E"/>
    <w:rsid w:val="007A2C8F"/>
    <w:rsid w:val="007B172E"/>
    <w:rsid w:val="007C6EFC"/>
    <w:rsid w:val="007D16EF"/>
    <w:rsid w:val="007D6E4A"/>
    <w:rsid w:val="007F3EA1"/>
    <w:rsid w:val="008044A6"/>
    <w:rsid w:val="008317B1"/>
    <w:rsid w:val="008B1DFC"/>
    <w:rsid w:val="008B6302"/>
    <w:rsid w:val="008D144D"/>
    <w:rsid w:val="008E636D"/>
    <w:rsid w:val="008F396E"/>
    <w:rsid w:val="0098288F"/>
    <w:rsid w:val="00994032"/>
    <w:rsid w:val="009C7B67"/>
    <w:rsid w:val="00A13E3C"/>
    <w:rsid w:val="00A70BA8"/>
    <w:rsid w:val="00A761CF"/>
    <w:rsid w:val="00AA2DDA"/>
    <w:rsid w:val="00AB3B94"/>
    <w:rsid w:val="00B259F7"/>
    <w:rsid w:val="00B27313"/>
    <w:rsid w:val="00B30ACA"/>
    <w:rsid w:val="00B71C15"/>
    <w:rsid w:val="00B74F8F"/>
    <w:rsid w:val="00B76B5C"/>
    <w:rsid w:val="00B92689"/>
    <w:rsid w:val="00BE6F3D"/>
    <w:rsid w:val="00C5104D"/>
    <w:rsid w:val="00C91CBB"/>
    <w:rsid w:val="00D1324E"/>
    <w:rsid w:val="00D419D2"/>
    <w:rsid w:val="00D700A0"/>
    <w:rsid w:val="00E07BD2"/>
    <w:rsid w:val="00E3332A"/>
    <w:rsid w:val="00E34F7E"/>
    <w:rsid w:val="00E512B0"/>
    <w:rsid w:val="00E75099"/>
    <w:rsid w:val="00E8564F"/>
    <w:rsid w:val="00ED02EE"/>
    <w:rsid w:val="00ED0729"/>
    <w:rsid w:val="00F04828"/>
    <w:rsid w:val="00F26EC7"/>
    <w:rsid w:val="00F4755E"/>
    <w:rsid w:val="00F635E9"/>
    <w:rsid w:val="00FA7CA4"/>
    <w:rsid w:val="00FF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tabs>
        <w:tab w:val="center" w:pos="4680"/>
      </w:tabs>
      <w:suppressAutoHyphens/>
      <w:jc w:val="both"/>
      <w:outlineLvl w:val="5"/>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240" w:after="240" w:line="240" w:lineRule="atLeast"/>
      <w:jc w:val="center"/>
    </w:pPr>
    <w:rPr>
      <w:rFonts w:ascii="Times New Roman" w:hAnsi="Times New Roman"/>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485F4A"/>
    <w:rPr>
      <w:color w:val="0000FF"/>
      <w:u w:val="single"/>
    </w:rPr>
  </w:style>
  <w:style w:type="paragraph" w:styleId="BalloonText">
    <w:name w:val="Balloon Text"/>
    <w:basedOn w:val="Normal"/>
    <w:semiHidden/>
    <w:rsid w:val="00384440"/>
    <w:rPr>
      <w:rFonts w:ascii="Tahoma" w:hAnsi="Tahoma" w:cs="Tahoma"/>
      <w:sz w:val="16"/>
      <w:szCs w:val="16"/>
    </w:rPr>
  </w:style>
  <w:style w:type="character" w:customStyle="1" w:styleId="HeaderChar">
    <w:name w:val="Header Char"/>
    <w:basedOn w:val="DefaultParagraphFont"/>
    <w:link w:val="Header"/>
    <w:rsid w:val="00F635E9"/>
    <w:rPr>
      <w:rFonts w:ascii="Arial" w:hAnsi="Arial"/>
      <w:spacing w:val="-5"/>
    </w:rPr>
  </w:style>
  <w:style w:type="paragraph" w:styleId="ListParagraph">
    <w:name w:val="List Paragraph"/>
    <w:basedOn w:val="Normal"/>
    <w:uiPriority w:val="34"/>
    <w:qFormat/>
    <w:rsid w:val="00F635E9"/>
    <w:pPr>
      <w:spacing w:after="200" w:line="276" w:lineRule="auto"/>
      <w:ind w:left="720"/>
      <w:contextualSpacing/>
    </w:pPr>
    <w:rPr>
      <w:rFonts w:ascii="Calibri" w:hAnsi="Calibri"/>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tabs>
        <w:tab w:val="center" w:pos="4680"/>
      </w:tabs>
      <w:suppressAutoHyphens/>
      <w:jc w:val="both"/>
      <w:outlineLvl w:val="5"/>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240" w:after="240" w:line="240" w:lineRule="atLeast"/>
      <w:jc w:val="center"/>
    </w:pPr>
    <w:rPr>
      <w:rFonts w:ascii="Times New Roman" w:hAnsi="Times New Roman"/>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485F4A"/>
    <w:rPr>
      <w:color w:val="0000FF"/>
      <w:u w:val="single"/>
    </w:rPr>
  </w:style>
  <w:style w:type="paragraph" w:styleId="BalloonText">
    <w:name w:val="Balloon Text"/>
    <w:basedOn w:val="Normal"/>
    <w:semiHidden/>
    <w:rsid w:val="00384440"/>
    <w:rPr>
      <w:rFonts w:ascii="Tahoma" w:hAnsi="Tahoma" w:cs="Tahoma"/>
      <w:sz w:val="16"/>
      <w:szCs w:val="16"/>
    </w:rPr>
  </w:style>
  <w:style w:type="character" w:customStyle="1" w:styleId="HeaderChar">
    <w:name w:val="Header Char"/>
    <w:basedOn w:val="DefaultParagraphFont"/>
    <w:link w:val="Header"/>
    <w:rsid w:val="00F635E9"/>
    <w:rPr>
      <w:rFonts w:ascii="Arial" w:hAnsi="Arial"/>
      <w:spacing w:val="-5"/>
    </w:rPr>
  </w:style>
  <w:style w:type="paragraph" w:styleId="ListParagraph">
    <w:name w:val="List Paragraph"/>
    <w:basedOn w:val="Normal"/>
    <w:uiPriority w:val="34"/>
    <w:qFormat/>
    <w:rsid w:val="00F635E9"/>
    <w:pPr>
      <w:spacing w:after="200" w:line="276" w:lineRule="auto"/>
      <w:ind w:left="720"/>
      <w:contextualSpacing/>
    </w:pPr>
    <w:rPr>
      <w:rFonts w:ascii="Calibri" w:hAnsi="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Memo</Template>
  <TotalTime>1</TotalTime>
  <Pages>2</Pages>
  <Words>817</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Manager>Joyce Danna</Manager>
  <Company>Washoe County District Health Department</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Letterhead_WCDHD</dc:subject>
  <dc:creator>Steve Hughes</dc:creator>
  <cp:lastModifiedBy>Long, Teresa</cp:lastModifiedBy>
  <cp:revision>2</cp:revision>
  <cp:lastPrinted>2015-05-21T14:58:00Z</cp:lastPrinted>
  <dcterms:created xsi:type="dcterms:W3CDTF">2018-05-21T19:21:00Z</dcterms:created>
  <dcterms:modified xsi:type="dcterms:W3CDTF">2018-05-21T19:21:00Z</dcterms:modified>
  <cp:category>template</cp:category>
</cp:coreProperties>
</file>